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0A" w:rsidRDefault="007F620A" w:rsidP="007F620A">
      <w:pPr>
        <w:pStyle w:val="msolistparagraph0"/>
        <w:snapToGrid w:val="0"/>
        <w:spacing w:beforeLines="20" w:before="72" w:afterLines="20" w:after="72"/>
        <w:jc w:val="center"/>
        <w:rPr>
          <w:rFonts w:ascii="Times New Roman" w:eastAsia="標楷體" w:hAnsi="標楷體" w:cs="Times New Roman"/>
          <w:b/>
          <w:bCs/>
          <w:sz w:val="28"/>
          <w:szCs w:val="28"/>
        </w:rPr>
      </w:pPr>
      <w:r w:rsidRPr="00EA42D1">
        <w:rPr>
          <w:rFonts w:ascii="Times New Roman" w:eastAsia="標楷體" w:hAnsi="標楷體" w:cs="Times New Roman"/>
          <w:b/>
          <w:bCs/>
          <w:sz w:val="28"/>
          <w:szCs w:val="28"/>
        </w:rPr>
        <w:t>元智大學管理學院</w:t>
      </w:r>
    </w:p>
    <w:p w:rsidR="007F620A" w:rsidRPr="00EA42D1" w:rsidRDefault="007F620A" w:rsidP="007F620A">
      <w:pPr>
        <w:pStyle w:val="msolistparagraph0"/>
        <w:snapToGrid w:val="0"/>
        <w:spacing w:beforeLines="20" w:before="72" w:afterLines="20" w:after="72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A42D1">
        <w:rPr>
          <w:rFonts w:ascii="Times New Roman" w:eastAsia="標楷體" w:hAnsi="標楷體" w:cs="Times New Roman"/>
          <w:b/>
          <w:bCs/>
          <w:sz w:val="28"/>
          <w:szCs w:val="28"/>
        </w:rPr>
        <w:t>「教學」及「輔導暨服務」績效獎勵評核作業</w:t>
      </w:r>
    </w:p>
    <w:p w:rsidR="007F620A" w:rsidRDefault="007F620A" w:rsidP="007F620A">
      <w:pPr>
        <w:pStyle w:val="msolistparagraph0"/>
        <w:wordWrap w:val="0"/>
        <w:snapToGrid w:val="0"/>
        <w:ind w:left="962" w:hanging="482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</w:p>
    <w:p w:rsidR="007F620A" w:rsidRPr="00DD2A81" w:rsidRDefault="007F620A" w:rsidP="007F620A">
      <w:pPr>
        <w:pStyle w:val="msolistparagraph0"/>
        <w:snapToGrid w:val="0"/>
        <w:ind w:left="962" w:hanging="482"/>
        <w:jc w:val="right"/>
        <w:rPr>
          <w:rFonts w:ascii="Times New Roman" w:eastAsia="標楷體" w:hAnsi="Times New Roman" w:cs="Times New Roman"/>
          <w:sz w:val="20"/>
        </w:rPr>
      </w:pPr>
      <w:r w:rsidRPr="00DD2A81">
        <w:rPr>
          <w:rFonts w:ascii="Times New Roman" w:eastAsia="標楷體" w:hAnsi="Times New Roman" w:cs="Times New Roman"/>
          <w:sz w:val="20"/>
        </w:rPr>
        <w:t>104.12.01</w:t>
      </w:r>
      <w:proofErr w:type="gramStart"/>
      <w:r w:rsidRPr="00DD2A81">
        <w:rPr>
          <w:rFonts w:ascii="Times New Roman" w:eastAsia="標楷體" w:hAnsi="Times New Roman" w:cs="Times New Roman"/>
          <w:sz w:val="20"/>
        </w:rPr>
        <w:t>一</w:t>
      </w:r>
      <w:r w:rsidRPr="00DD2A81">
        <w:rPr>
          <w:rFonts w:ascii="Times New Roman" w:eastAsia="標楷體" w:hAnsi="Times New Roman" w:cs="Times New Roman"/>
          <w:bCs/>
          <w:sz w:val="20"/>
        </w:rPr>
        <w:t>Ｏ</w:t>
      </w:r>
      <w:proofErr w:type="gramEnd"/>
      <w:r w:rsidRPr="00DD2A81">
        <w:rPr>
          <w:rFonts w:ascii="Times New Roman" w:eastAsia="標楷體" w:hAnsi="Times New Roman" w:cs="Times New Roman"/>
          <w:sz w:val="20"/>
        </w:rPr>
        <w:t>四學年度第六次主管會議通過</w:t>
      </w:r>
    </w:p>
    <w:p w:rsidR="007F620A" w:rsidRDefault="007F620A" w:rsidP="007F620A">
      <w:pPr>
        <w:adjustRightInd w:val="0"/>
        <w:snapToGrid w:val="0"/>
        <w:spacing w:line="180" w:lineRule="atLeast"/>
        <w:ind w:rightChars="-36" w:right="-86"/>
        <w:jc w:val="right"/>
        <w:textAlignment w:val="baseline"/>
        <w:rPr>
          <w:rFonts w:eastAsia="標楷體"/>
          <w:sz w:val="20"/>
        </w:rPr>
      </w:pPr>
      <w:r w:rsidRPr="00DD2A81">
        <w:rPr>
          <w:rFonts w:eastAsia="標楷體"/>
          <w:sz w:val="20"/>
        </w:rPr>
        <w:t xml:space="preserve">104.12.30 </w:t>
      </w:r>
      <w:proofErr w:type="gramStart"/>
      <w:r w:rsidRPr="00DD2A81">
        <w:rPr>
          <w:rFonts w:eastAsia="標楷體"/>
          <w:sz w:val="20"/>
        </w:rPr>
        <w:t>一</w:t>
      </w:r>
      <w:r w:rsidRPr="00DD2A81">
        <w:rPr>
          <w:rFonts w:eastAsia="標楷體"/>
          <w:bCs/>
          <w:kern w:val="0"/>
          <w:sz w:val="20"/>
        </w:rPr>
        <w:t>Ｏ</w:t>
      </w:r>
      <w:proofErr w:type="gramEnd"/>
      <w:r w:rsidRPr="00DD2A81">
        <w:rPr>
          <w:rFonts w:eastAsia="標楷體"/>
          <w:sz w:val="20"/>
        </w:rPr>
        <w:t>四學年度第四次院</w:t>
      </w:r>
      <w:proofErr w:type="gramStart"/>
      <w:r w:rsidRPr="00DD2A81">
        <w:rPr>
          <w:rFonts w:eastAsia="標楷體"/>
          <w:sz w:val="20"/>
        </w:rPr>
        <w:t>務</w:t>
      </w:r>
      <w:proofErr w:type="gramEnd"/>
      <w:r w:rsidRPr="00DD2A81">
        <w:rPr>
          <w:rFonts w:eastAsia="標楷體"/>
          <w:sz w:val="20"/>
        </w:rPr>
        <w:t>會議通過</w:t>
      </w:r>
    </w:p>
    <w:p w:rsidR="007F620A" w:rsidRDefault="007F620A" w:rsidP="007F620A">
      <w:pPr>
        <w:pStyle w:val="msolistparagraph0"/>
        <w:snapToGrid w:val="0"/>
        <w:ind w:left="962" w:hanging="482"/>
        <w:jc w:val="right"/>
        <w:rPr>
          <w:rFonts w:ascii="Times New Roman" w:eastAsia="標楷體" w:hAnsi="Times New Roman" w:cs="Times New Roman"/>
          <w:sz w:val="20"/>
        </w:rPr>
      </w:pPr>
      <w:r w:rsidRPr="00DD2A81">
        <w:rPr>
          <w:rFonts w:ascii="Times New Roman" w:eastAsia="標楷體" w:hAnsi="Times New Roman" w:cs="Times New Roman"/>
          <w:sz w:val="20"/>
        </w:rPr>
        <w:t>10</w:t>
      </w:r>
      <w:r>
        <w:rPr>
          <w:rFonts w:ascii="Times New Roman" w:eastAsia="標楷體" w:hAnsi="Times New Roman" w:cs="Times New Roman" w:hint="eastAsia"/>
          <w:sz w:val="20"/>
        </w:rPr>
        <w:t>5.02.23</w:t>
      </w:r>
      <w:proofErr w:type="gramStart"/>
      <w:r w:rsidRPr="00DD2A81">
        <w:rPr>
          <w:rFonts w:ascii="Times New Roman" w:eastAsia="標楷體" w:hAnsi="Times New Roman" w:cs="Times New Roman"/>
          <w:sz w:val="20"/>
        </w:rPr>
        <w:t>一</w:t>
      </w:r>
      <w:r w:rsidRPr="00DD2A81">
        <w:rPr>
          <w:rFonts w:ascii="Times New Roman" w:eastAsia="標楷體" w:hAnsi="Times New Roman" w:cs="Times New Roman"/>
          <w:bCs/>
          <w:sz w:val="20"/>
        </w:rPr>
        <w:t>Ｏ</w:t>
      </w:r>
      <w:proofErr w:type="gramEnd"/>
      <w:r w:rsidRPr="00DD2A81">
        <w:rPr>
          <w:rFonts w:ascii="Times New Roman" w:eastAsia="標楷體" w:hAnsi="Times New Roman" w:cs="Times New Roman"/>
          <w:sz w:val="20"/>
        </w:rPr>
        <w:t>四學年度第</w:t>
      </w:r>
      <w:r>
        <w:rPr>
          <w:rFonts w:ascii="Times New Roman" w:eastAsia="標楷體" w:hAnsi="Times New Roman" w:cs="Times New Roman" w:hint="eastAsia"/>
          <w:sz w:val="20"/>
        </w:rPr>
        <w:t>十</w:t>
      </w:r>
      <w:r w:rsidRPr="00DD2A81">
        <w:rPr>
          <w:rFonts w:ascii="Times New Roman" w:eastAsia="標楷體" w:hAnsi="Times New Roman" w:cs="Times New Roman"/>
          <w:sz w:val="20"/>
        </w:rPr>
        <w:t>次主管會議通過</w:t>
      </w:r>
    </w:p>
    <w:p w:rsidR="007F620A" w:rsidRPr="001E309C" w:rsidRDefault="007F620A" w:rsidP="007F620A">
      <w:pPr>
        <w:pStyle w:val="msolistparagraph0"/>
        <w:snapToGrid w:val="0"/>
        <w:ind w:left="962" w:hanging="482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105.03.16</w:t>
      </w:r>
      <w:proofErr w:type="gramStart"/>
      <w:r w:rsidRPr="00DD2A81">
        <w:rPr>
          <w:rFonts w:eastAsia="標楷體"/>
          <w:sz w:val="20"/>
        </w:rPr>
        <w:t>一</w:t>
      </w:r>
      <w:r w:rsidRPr="00DD2A81">
        <w:rPr>
          <w:rFonts w:eastAsia="標楷體"/>
          <w:bCs/>
          <w:sz w:val="20"/>
        </w:rPr>
        <w:t>Ｏ</w:t>
      </w:r>
      <w:proofErr w:type="gramEnd"/>
      <w:r w:rsidRPr="00DD2A81">
        <w:rPr>
          <w:rFonts w:eastAsia="標楷體"/>
          <w:sz w:val="20"/>
        </w:rPr>
        <w:t>四學年度</w:t>
      </w:r>
      <w:r>
        <w:rPr>
          <w:rFonts w:eastAsia="標楷體" w:hint="eastAsia"/>
          <w:sz w:val="20"/>
        </w:rPr>
        <w:t>第五次院</w:t>
      </w:r>
      <w:proofErr w:type="gramStart"/>
      <w:r>
        <w:rPr>
          <w:rFonts w:eastAsia="標楷體" w:hint="eastAsia"/>
          <w:sz w:val="20"/>
        </w:rPr>
        <w:t>務</w:t>
      </w:r>
      <w:proofErr w:type="gramEnd"/>
      <w:r>
        <w:rPr>
          <w:rFonts w:eastAsia="標楷體" w:hint="eastAsia"/>
          <w:sz w:val="20"/>
        </w:rPr>
        <w:t>會議</w:t>
      </w:r>
      <w:r>
        <w:rPr>
          <w:rFonts w:eastAsia="標楷體" w:hint="eastAsia"/>
          <w:sz w:val="20"/>
        </w:rPr>
        <w:t>通過</w:t>
      </w:r>
    </w:p>
    <w:p w:rsidR="007F620A" w:rsidRPr="00EA3BE9" w:rsidRDefault="007F620A" w:rsidP="007F620A">
      <w:pPr>
        <w:adjustRightInd w:val="0"/>
        <w:snapToGrid w:val="0"/>
        <w:spacing w:line="180" w:lineRule="atLeast"/>
        <w:ind w:rightChars="-36" w:right="-86"/>
        <w:jc w:val="right"/>
        <w:textAlignment w:val="baseline"/>
        <w:rPr>
          <w:rFonts w:eastAsia="標楷體"/>
          <w:sz w:val="20"/>
        </w:rPr>
      </w:pPr>
    </w:p>
    <w:p w:rsidR="007F620A" w:rsidRPr="00DD2A81" w:rsidRDefault="007F620A" w:rsidP="007F620A">
      <w:pPr>
        <w:adjustRightInd w:val="0"/>
        <w:snapToGrid w:val="0"/>
        <w:spacing w:line="180" w:lineRule="atLeast"/>
        <w:ind w:rightChars="-36" w:right="-86"/>
        <w:jc w:val="right"/>
        <w:textAlignment w:val="baseline"/>
        <w:rPr>
          <w:rFonts w:eastAsia="標楷體"/>
          <w:sz w:val="18"/>
          <w:szCs w:val="18"/>
        </w:rPr>
      </w:pPr>
    </w:p>
    <w:p w:rsidR="007F620A" w:rsidRPr="00DD2A81" w:rsidRDefault="007F620A" w:rsidP="007F620A">
      <w:pPr>
        <w:pStyle w:val="msolistparagraph0"/>
        <w:snapToGrid w:val="0"/>
        <w:ind w:left="962" w:hanging="482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</w:p>
    <w:p w:rsidR="007F620A" w:rsidRPr="0056329A" w:rsidRDefault="007F620A" w:rsidP="007F620A">
      <w:pPr>
        <w:pStyle w:val="msolistparagraph0"/>
        <w:snapToGrid w:val="0"/>
        <w:ind w:left="962" w:hanging="482"/>
        <w:jc w:val="right"/>
        <w:rPr>
          <w:rFonts w:ascii="Times New Roman" w:eastAsia="標楷體" w:hAnsi="Times New Roman" w:cs="Times New Roman"/>
          <w:bCs/>
          <w:sz w:val="20"/>
          <w:szCs w:val="20"/>
        </w:rPr>
      </w:pPr>
      <w:bookmarkStart w:id="0" w:name="_GoBack"/>
      <w:bookmarkEnd w:id="0"/>
    </w:p>
    <w:p w:rsidR="007F620A" w:rsidRPr="00EA42D1" w:rsidRDefault="007F620A" w:rsidP="007F620A">
      <w:pPr>
        <w:pStyle w:val="msolistparagraph0"/>
        <w:numPr>
          <w:ilvl w:val="0"/>
          <w:numId w:val="1"/>
        </w:numPr>
        <w:spacing w:beforeLines="10" w:before="36" w:afterLines="10" w:after="36"/>
        <w:jc w:val="both"/>
        <w:rPr>
          <w:rFonts w:ascii="Times New Roman" w:eastAsia="標楷體" w:hAnsi="Times New Roman" w:cs="Times New Roman"/>
          <w:bCs/>
        </w:rPr>
      </w:pPr>
      <w:r w:rsidRPr="00EA42D1">
        <w:rPr>
          <w:rFonts w:ascii="Times New Roman" w:eastAsia="標楷體" w:hAnsi="Times New Roman" w:cs="Times New Roman" w:hint="eastAsia"/>
          <w:bCs/>
        </w:rPr>
        <w:t>本院</w:t>
      </w:r>
      <w:r w:rsidRPr="00EA42D1">
        <w:rPr>
          <w:rFonts w:ascii="Times New Roman" w:eastAsia="標楷體" w:hAnsi="標楷體" w:cs="Times New Roman"/>
          <w:bCs/>
        </w:rPr>
        <w:t>「教學」及「輔導暨服務」</w:t>
      </w:r>
      <w:r>
        <w:rPr>
          <w:rFonts w:ascii="Times New Roman" w:eastAsia="標楷體" w:hAnsi="標楷體" w:cs="Times New Roman" w:hint="eastAsia"/>
          <w:bCs/>
        </w:rPr>
        <w:t>項目「</w:t>
      </w:r>
      <w:r w:rsidRPr="00EA42D1">
        <w:rPr>
          <w:rFonts w:ascii="Times New Roman" w:eastAsia="標楷體" w:hAnsi="標楷體" w:cs="Times New Roman" w:hint="eastAsia"/>
          <w:bCs/>
        </w:rPr>
        <w:t>優等</w:t>
      </w:r>
      <w:r>
        <w:rPr>
          <w:rFonts w:ascii="Times New Roman" w:eastAsia="標楷體" w:hAnsi="標楷體" w:cs="Times New Roman" w:hint="eastAsia"/>
          <w:bCs/>
        </w:rPr>
        <w:t>」教</w:t>
      </w:r>
      <w:bookmarkStart w:id="1" w:name="OLE_LINK1"/>
      <w:bookmarkStart w:id="2" w:name="OLE_LINK2"/>
      <w:r>
        <w:rPr>
          <w:rFonts w:ascii="Times New Roman" w:eastAsia="標楷體" w:hAnsi="標楷體" w:cs="Times New Roman" w:hint="eastAsia"/>
          <w:bCs/>
        </w:rPr>
        <w:t>師推薦及選拔方式：</w:t>
      </w:r>
    </w:p>
    <w:p w:rsidR="007F620A" w:rsidRDefault="007F620A" w:rsidP="007F620A">
      <w:pPr>
        <w:pStyle w:val="msolistparagraph0"/>
        <w:numPr>
          <w:ilvl w:val="1"/>
          <w:numId w:val="1"/>
        </w:numPr>
        <w:spacing w:beforeLines="10" w:before="36" w:afterLines="10" w:after="36"/>
        <w:ind w:left="84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教師依據學群規定提供成果</w:t>
      </w:r>
      <w:proofErr w:type="gramStart"/>
      <w:r>
        <w:rPr>
          <w:rFonts w:ascii="Times New Roman" w:eastAsia="標楷體" w:hAnsi="Times New Roman" w:cs="Times New Roman" w:hint="eastAsia"/>
          <w:bCs/>
        </w:rPr>
        <w:t>報告予學群</w:t>
      </w:r>
      <w:proofErr w:type="gramEnd"/>
      <w:r>
        <w:rPr>
          <w:rFonts w:ascii="Times New Roman" w:eastAsia="標楷體" w:hAnsi="Times New Roman" w:cs="Times New Roman" w:hint="eastAsia"/>
          <w:bCs/>
        </w:rPr>
        <w:t>教師評審委員會初審。</w:t>
      </w:r>
    </w:p>
    <w:p w:rsidR="007F620A" w:rsidRPr="003C229B" w:rsidRDefault="007F620A" w:rsidP="007F620A">
      <w:pPr>
        <w:pStyle w:val="msolistparagraph0"/>
        <w:numPr>
          <w:ilvl w:val="1"/>
          <w:numId w:val="1"/>
        </w:numPr>
        <w:spacing w:beforeLines="10" w:before="36" w:afterLines="10" w:after="36"/>
        <w:ind w:left="84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Times New Roman" w:cs="Times New Roman" w:hint="eastAsia"/>
          <w:bCs/>
        </w:rPr>
        <w:t>各</w:t>
      </w:r>
      <w:r w:rsidRPr="00EA42D1">
        <w:rPr>
          <w:rFonts w:ascii="Times New Roman" w:eastAsia="標楷體" w:hAnsi="標楷體" w:cs="Times New Roman"/>
          <w:bCs/>
        </w:rPr>
        <w:t>學群</w:t>
      </w:r>
      <w:r>
        <w:rPr>
          <w:rFonts w:ascii="Times New Roman" w:eastAsia="標楷體" w:hAnsi="標楷體" w:cs="Times New Roman" w:hint="eastAsia"/>
          <w:bCs/>
        </w:rPr>
        <w:t>教師評審委員會初審並</w:t>
      </w:r>
      <w:r w:rsidRPr="00EA42D1">
        <w:rPr>
          <w:rFonts w:ascii="Times New Roman" w:eastAsia="標楷體" w:hAnsi="標楷體" w:cs="Times New Roman"/>
          <w:bCs/>
        </w:rPr>
        <w:t>推薦</w:t>
      </w:r>
      <w:r>
        <w:rPr>
          <w:rFonts w:ascii="Times New Roman" w:eastAsia="標楷體" w:hAnsi="標楷體" w:cs="Times New Roman" w:hint="eastAsia"/>
          <w:bCs/>
        </w:rPr>
        <w:t>符合且願意參與</w:t>
      </w:r>
      <w:r w:rsidRPr="00EA42D1">
        <w:rPr>
          <w:rFonts w:ascii="Times New Roman" w:eastAsia="標楷體" w:hAnsi="標楷體" w:cs="Times New Roman"/>
          <w:bCs/>
        </w:rPr>
        <w:t>「教學</w:t>
      </w:r>
      <w:bookmarkEnd w:id="1"/>
      <w:bookmarkEnd w:id="2"/>
      <w:r w:rsidRPr="00EA42D1">
        <w:rPr>
          <w:rFonts w:ascii="Times New Roman" w:eastAsia="標楷體" w:hAnsi="標楷體" w:cs="Times New Roman"/>
          <w:bCs/>
        </w:rPr>
        <w:t>」及「輔導暨服務」</w:t>
      </w:r>
      <w:r>
        <w:rPr>
          <w:rFonts w:ascii="Times New Roman" w:eastAsia="標楷體" w:hAnsi="標楷體" w:cs="Times New Roman" w:hint="eastAsia"/>
          <w:bCs/>
        </w:rPr>
        <w:t>項目「</w:t>
      </w:r>
      <w:r w:rsidRPr="00EA42D1">
        <w:rPr>
          <w:rFonts w:ascii="Times New Roman" w:eastAsia="標楷體" w:hAnsi="標楷體" w:cs="Times New Roman"/>
          <w:bCs/>
        </w:rPr>
        <w:t>優等</w:t>
      </w:r>
      <w:r>
        <w:rPr>
          <w:rFonts w:ascii="Times New Roman" w:eastAsia="標楷體" w:hAnsi="標楷體" w:cs="Times New Roman" w:hint="eastAsia"/>
          <w:bCs/>
        </w:rPr>
        <w:t>」選拔之教師，推薦人數由學群決定（人數無上限，符合資格者皆可參加）。</w:t>
      </w:r>
    </w:p>
    <w:p w:rsidR="007F620A" w:rsidRPr="00812B12" w:rsidRDefault="007F620A" w:rsidP="007F620A">
      <w:pPr>
        <w:pStyle w:val="msolistparagraph0"/>
        <w:numPr>
          <w:ilvl w:val="1"/>
          <w:numId w:val="1"/>
        </w:numPr>
        <w:spacing w:beforeLines="10" w:before="36" w:afterLines="10" w:after="36"/>
        <w:ind w:left="840"/>
        <w:jc w:val="both"/>
        <w:rPr>
          <w:rFonts w:ascii="Times New Roman" w:eastAsia="標楷體" w:hAnsi="Times New Roman" w:cs="Times New Roman"/>
          <w:bCs/>
        </w:rPr>
      </w:pPr>
      <w:r w:rsidRPr="00812B12">
        <w:rPr>
          <w:rFonts w:ascii="標楷體" w:eastAsia="標楷體" w:hAnsi="標楷體" w:hint="eastAsia"/>
        </w:rPr>
        <w:t>院長徵詢各班主任建議，推薦「輔導暨服務」表現優異之教師</w:t>
      </w:r>
      <w:proofErr w:type="gramStart"/>
      <w:r w:rsidRPr="00812B12">
        <w:rPr>
          <w:rFonts w:ascii="標楷體" w:eastAsia="標楷體" w:hAnsi="標楷體" w:hint="eastAsia"/>
        </w:rPr>
        <w:t>逕</w:t>
      </w:r>
      <w:proofErr w:type="gramEnd"/>
      <w:r w:rsidRPr="00812B12">
        <w:rPr>
          <w:rFonts w:ascii="標楷體" w:eastAsia="標楷體" w:hAnsi="標楷體" w:hint="eastAsia"/>
        </w:rPr>
        <w:t>至院教師評鑑與獎勵審議委員會，參與「優等」</w:t>
      </w:r>
      <w:proofErr w:type="gramStart"/>
      <w:r w:rsidRPr="00812B12">
        <w:rPr>
          <w:rFonts w:ascii="標楷體" w:eastAsia="標楷體" w:hAnsi="標楷體" w:hint="eastAsia"/>
        </w:rPr>
        <w:t>複</w:t>
      </w:r>
      <w:proofErr w:type="gramEnd"/>
      <w:r w:rsidRPr="00812B12">
        <w:rPr>
          <w:rFonts w:ascii="標楷體" w:eastAsia="標楷體" w:hAnsi="標楷體" w:hint="eastAsia"/>
        </w:rPr>
        <w:t>審選拔。</w:t>
      </w:r>
    </w:p>
    <w:p w:rsidR="007F620A" w:rsidRPr="00684240" w:rsidRDefault="007F620A" w:rsidP="007F620A">
      <w:pPr>
        <w:pStyle w:val="msolistparagraph0"/>
        <w:numPr>
          <w:ilvl w:val="1"/>
          <w:numId w:val="1"/>
        </w:numPr>
        <w:spacing w:beforeLines="10" w:before="36" w:afterLines="10" w:after="36"/>
        <w:ind w:left="84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>受推薦參與「優等」選拔之教師提供成果報告，並可提供任何有利資料（如學群教師互評結果或各主管推薦資訊）作為選拔之參考。</w:t>
      </w:r>
    </w:p>
    <w:p w:rsidR="007F620A" w:rsidRPr="006722AF" w:rsidRDefault="007F620A" w:rsidP="007F620A">
      <w:pPr>
        <w:pStyle w:val="msolistparagraph0"/>
        <w:numPr>
          <w:ilvl w:val="1"/>
          <w:numId w:val="1"/>
        </w:numPr>
        <w:spacing w:beforeLines="10" w:before="36" w:afterLines="10" w:after="36"/>
        <w:ind w:left="840"/>
        <w:jc w:val="both"/>
        <w:rPr>
          <w:rFonts w:ascii="Times New Roman" w:eastAsia="標楷體" w:hAnsi="Times New Roman" w:cs="Times New Roman"/>
          <w:bCs/>
        </w:rPr>
      </w:pPr>
      <w:r>
        <w:rPr>
          <w:rFonts w:ascii="Times New Roman" w:eastAsia="標楷體" w:hAnsi="標楷體" w:cs="Times New Roman" w:hint="eastAsia"/>
          <w:bCs/>
        </w:rPr>
        <w:t>各學群提供受推薦參與「優等」選拔教師資料及教評會議紀錄，送院教師評鑑與獎勵審議委員會</w:t>
      </w:r>
      <w:proofErr w:type="gramStart"/>
      <w:r>
        <w:rPr>
          <w:rFonts w:ascii="Times New Roman" w:eastAsia="標楷體" w:hAnsi="標楷體" w:cs="Times New Roman" w:hint="eastAsia"/>
          <w:bCs/>
        </w:rPr>
        <w:t>複</w:t>
      </w:r>
      <w:proofErr w:type="gramEnd"/>
      <w:r>
        <w:rPr>
          <w:rFonts w:ascii="Times New Roman" w:eastAsia="標楷體" w:hAnsi="標楷體" w:cs="Times New Roman" w:hint="eastAsia"/>
          <w:bCs/>
        </w:rPr>
        <w:t>審。</w:t>
      </w:r>
    </w:p>
    <w:p w:rsidR="007F620A" w:rsidRPr="005863E2" w:rsidRDefault="007F620A" w:rsidP="007F620A">
      <w:pPr>
        <w:pStyle w:val="msolistparagraph0"/>
        <w:numPr>
          <w:ilvl w:val="1"/>
          <w:numId w:val="1"/>
        </w:numPr>
        <w:spacing w:beforeLines="10" w:before="36" w:afterLines="10" w:after="36"/>
        <w:ind w:left="840"/>
        <w:jc w:val="both"/>
        <w:rPr>
          <w:rFonts w:ascii="Times New Roman" w:eastAsia="標楷體" w:hAnsi="Times New Roman" w:cs="Times New Roman"/>
          <w:bCs/>
          <w:color w:val="000000"/>
        </w:rPr>
      </w:pPr>
      <w:r w:rsidRPr="005863E2">
        <w:rPr>
          <w:rFonts w:ascii="Times New Roman" w:eastAsia="標楷體" w:hAnsi="標楷體" w:cs="Times New Roman" w:hint="eastAsia"/>
          <w:bCs/>
          <w:color w:val="000000"/>
        </w:rPr>
        <w:t>院教師評鑑與獎勵審議委員會進行書面審查</w:t>
      </w:r>
      <w:r w:rsidRPr="005863E2">
        <w:rPr>
          <w:rFonts w:eastAsia="標楷體" w:hAnsi="標楷體" w:hint="eastAsia"/>
          <w:color w:val="000000"/>
        </w:rPr>
        <w:t>，並由</w:t>
      </w:r>
      <w:r>
        <w:rPr>
          <w:rFonts w:eastAsia="標楷體" w:hAnsi="標楷體" w:hint="eastAsia"/>
          <w:color w:val="000000"/>
        </w:rPr>
        <w:t>院長及</w:t>
      </w:r>
      <w:r w:rsidRPr="005863E2">
        <w:rPr>
          <w:rFonts w:eastAsia="標楷體" w:hAnsi="標楷體" w:hint="eastAsia"/>
          <w:color w:val="000000"/>
        </w:rPr>
        <w:t>學群教師評鑑作業負責人說明推薦情形</w:t>
      </w:r>
      <w:r w:rsidRPr="005863E2">
        <w:rPr>
          <w:rFonts w:ascii="Times New Roman" w:eastAsia="標楷體" w:hAnsi="標楷體" w:cs="Times New Roman" w:hint="eastAsia"/>
          <w:bCs/>
          <w:color w:val="000000"/>
        </w:rPr>
        <w:t>後，進行無記名投票產生「優等」教師。</w:t>
      </w:r>
    </w:p>
    <w:p w:rsidR="007F620A" w:rsidRPr="005863E2" w:rsidRDefault="007F620A" w:rsidP="007F620A">
      <w:pPr>
        <w:pStyle w:val="msolistparagraph0"/>
        <w:spacing w:beforeLines="10" w:before="36" w:afterLines="10" w:after="36"/>
        <w:jc w:val="both"/>
        <w:rPr>
          <w:rFonts w:ascii="Times New Roman" w:eastAsia="標楷體" w:hAnsi="Times New Roman" w:cs="Times New Roman"/>
          <w:bCs/>
          <w:color w:val="000000"/>
        </w:rPr>
      </w:pPr>
    </w:p>
    <w:p w:rsidR="007F620A" w:rsidRDefault="007F620A" w:rsidP="007F620A">
      <w:r w:rsidRPr="00AF3A32">
        <w:rPr>
          <w:rFonts w:ascii="標楷體" w:eastAsia="標楷體" w:hAnsi="標楷體" w:hint="eastAsia"/>
        </w:rPr>
        <w:t>其餘相關作業，</w:t>
      </w:r>
      <w:r w:rsidRPr="00AF3A32">
        <w:rPr>
          <w:rFonts w:ascii="標楷體" w:eastAsia="標楷體" w:hAnsi="標楷體"/>
        </w:rPr>
        <w:t>依據本院「學群教師教學及輔導暨服務評鑑辦法」及本院「教師學年度績效獎勵「特優」等教師選拔辦法」辦理。</w:t>
      </w:r>
    </w:p>
    <w:p w:rsidR="00927E4A" w:rsidRPr="007F620A" w:rsidRDefault="00927E4A"/>
    <w:sectPr w:rsidR="00927E4A" w:rsidRPr="007F62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A4F"/>
    <w:multiLevelType w:val="hybridMultilevel"/>
    <w:tmpl w:val="D402F4E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70203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0A"/>
    <w:rsid w:val="007F620A"/>
    <w:rsid w:val="00812B12"/>
    <w:rsid w:val="0092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F620A"/>
    <w:pPr>
      <w:widowControl/>
      <w:ind w:left="480"/>
    </w:pPr>
    <w:rPr>
      <w:rFonts w:ascii="Calibri" w:hAnsi="Calibri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7F620A"/>
    <w:pPr>
      <w:widowControl/>
      <w:ind w:left="480"/>
    </w:pPr>
    <w:rPr>
      <w:rFonts w:ascii="Calibri" w:hAnsi="Calibri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2016-03-17T07:24:00Z</cp:lastPrinted>
  <dcterms:created xsi:type="dcterms:W3CDTF">2016-03-17T07:23:00Z</dcterms:created>
  <dcterms:modified xsi:type="dcterms:W3CDTF">2016-03-17T07:24:00Z</dcterms:modified>
</cp:coreProperties>
</file>